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009E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县域充换电设施补短板试点县的验收要求</w:t>
      </w:r>
    </w:p>
    <w:p w14:paraId="037CF97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278B4C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一、第一批试点县年度考核指标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704"/>
        <w:gridCol w:w="2134"/>
        <w:gridCol w:w="1275"/>
        <w:gridCol w:w="1705"/>
      </w:tblGrid>
      <w:tr w14:paraId="276F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09" w:hRule="atLeast"/>
        </w:trPr>
        <w:tc>
          <w:tcPr>
            <w:tcW w:w="1704" w:type="dxa"/>
            <w:vAlign w:val="center"/>
          </w:tcPr>
          <w:p w14:paraId="7B712D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年度考核指标</w:t>
            </w:r>
          </w:p>
        </w:tc>
        <w:tc>
          <w:tcPr>
            <w:tcW w:w="1704" w:type="dxa"/>
            <w:vAlign w:val="center"/>
          </w:tcPr>
          <w:p w14:paraId="1C1096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分档类型</w:t>
            </w:r>
          </w:p>
        </w:tc>
        <w:tc>
          <w:tcPr>
            <w:tcW w:w="2134" w:type="dxa"/>
            <w:vAlign w:val="center"/>
          </w:tcPr>
          <w:p w14:paraId="3ADBC7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考核年度</w:t>
            </w:r>
          </w:p>
        </w:tc>
        <w:tc>
          <w:tcPr>
            <w:tcW w:w="1275" w:type="dxa"/>
            <w:vAlign w:val="center"/>
          </w:tcPr>
          <w:p w14:paraId="6C9A01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年度考核指标值</w:t>
            </w:r>
          </w:p>
        </w:tc>
        <w:tc>
          <w:tcPr>
            <w:tcW w:w="1705" w:type="dxa"/>
            <w:vAlign w:val="center"/>
          </w:tcPr>
          <w:p w14:paraId="2E33D5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A440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8" w:hRule="atLeast"/>
        </w:trPr>
        <w:tc>
          <w:tcPr>
            <w:tcW w:w="1704" w:type="dxa"/>
            <w:vMerge w:val="restart"/>
            <w:vAlign w:val="center"/>
          </w:tcPr>
          <w:p w14:paraId="76DA51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试点期间新建充电基础设施功率利用率</w:t>
            </w:r>
          </w:p>
        </w:tc>
        <w:tc>
          <w:tcPr>
            <w:tcW w:w="1704" w:type="dxa"/>
            <w:vMerge w:val="restart"/>
            <w:vAlign w:val="center"/>
          </w:tcPr>
          <w:p w14:paraId="05F1BF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第二类</w:t>
            </w:r>
          </w:p>
        </w:tc>
        <w:tc>
          <w:tcPr>
            <w:tcW w:w="2134" w:type="dxa"/>
            <w:vMerge w:val="restart"/>
            <w:vAlign w:val="center"/>
          </w:tcPr>
          <w:p w14:paraId="39C0998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2024年度</w:t>
            </w:r>
          </w:p>
        </w:tc>
        <w:tc>
          <w:tcPr>
            <w:tcW w:w="1275" w:type="dxa"/>
            <w:vAlign w:val="center"/>
          </w:tcPr>
          <w:p w14:paraId="35608EC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1%</w:t>
            </w:r>
          </w:p>
        </w:tc>
        <w:tc>
          <w:tcPr>
            <w:tcW w:w="1705" w:type="dxa"/>
            <w:vAlign w:val="center"/>
          </w:tcPr>
          <w:p w14:paraId="375796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9F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8" w:hRule="atLeast"/>
        </w:trPr>
        <w:tc>
          <w:tcPr>
            <w:tcW w:w="1704" w:type="dxa"/>
            <w:vMerge w:val="continue"/>
            <w:tcBorders/>
            <w:vAlign w:val="center"/>
          </w:tcPr>
          <w:p w14:paraId="272EBC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tcBorders/>
            <w:vAlign w:val="center"/>
          </w:tcPr>
          <w:p w14:paraId="00EE6E2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Merge w:val="continue"/>
            <w:tcBorders/>
            <w:vAlign w:val="center"/>
          </w:tcPr>
          <w:p w14:paraId="226F6E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1264F87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2%</w:t>
            </w:r>
          </w:p>
        </w:tc>
        <w:tc>
          <w:tcPr>
            <w:tcW w:w="1705" w:type="dxa"/>
            <w:vAlign w:val="center"/>
          </w:tcPr>
          <w:p w14:paraId="214707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D7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8" w:hRule="atLeast"/>
        </w:trPr>
        <w:tc>
          <w:tcPr>
            <w:tcW w:w="1704" w:type="dxa"/>
            <w:vMerge w:val="continue"/>
            <w:tcBorders/>
            <w:vAlign w:val="center"/>
          </w:tcPr>
          <w:p w14:paraId="70482AC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tcBorders/>
            <w:vAlign w:val="center"/>
          </w:tcPr>
          <w:p w14:paraId="319809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Merge w:val="continue"/>
            <w:tcBorders/>
            <w:vAlign w:val="center"/>
          </w:tcPr>
          <w:p w14:paraId="6CDCBA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4D23661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4%</w:t>
            </w:r>
          </w:p>
        </w:tc>
        <w:tc>
          <w:tcPr>
            <w:tcW w:w="1705" w:type="dxa"/>
            <w:vAlign w:val="center"/>
          </w:tcPr>
          <w:p w14:paraId="0C017A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F06EAAB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二、验收要求</w:t>
      </w:r>
    </w:p>
    <w:p w14:paraId="0C8E023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1.充电桩功率利用率=充电量/(额定功率*投运时长)，换电站功率利用率=换电量/(充电机额定功率*投运时长)。  </w:t>
      </w:r>
    </w:p>
    <w:p w14:paraId="735A386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2.2024年，第一档对应的是2023年全年新能源汽车渗透率高于35%且低于 45%的省,第二档对应的是2023年全年新能源汽车渗透率高于25%且不低于35%的省，第三档对应的是 2023年全年新能源汽车渗透率不低于14%且不高于25%的省。2025-2026年的分档标准另行发布。</w:t>
      </w:r>
    </w:p>
    <w:p w14:paraId="4FA8327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试点县在试点期间新建的充电桩,按单桩额定功率120kw且单枪最大输出功率达到120kw的直流充电桩作为标准桩进行折算。单桩额定功率120kw(含)-360kw(不含)充电桩，可按额定功率除以120kw(向下取整)折算标准数量;单桩额定功率360kw(含)以上，可按额定功率除以120kw(向下取整)后，再乘以1.5倍系数折算标准桩数量。</w:t>
      </w:r>
    </w:p>
    <w:p w14:paraId="1C2EAF0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试点县应因地制宜积极探索换电、光储充、全液冷、V2G等新技术新模式应用。换电站按照总额定功率除以120kw(向下取整)后乘以3倍系数折算标准桩数量;光储充充电站按照总额定功率除以120kw(向下取整)后乘以2倍系数折算标准桩数量;具备全液冷充电设备的充电桩按照总额定功率除以120kw(向下取整)后乘以2倍系数折算标准桩数量。</w:t>
      </w:r>
    </w:p>
    <w:p w14:paraId="62BC3E6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5.试点期间新建充换电基础设施可用率不低于99%，且应提供不低于6年运营服务保障。</w:t>
      </w:r>
    </w:p>
    <w:p w14:paraId="1DEC081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6.充电桩清算运营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平台需实现双通道数据传输功能，最终实现支持同时接入自有运营平台、市省级各监管平台、国家清算平台等多平台的功能。</w:t>
      </w:r>
    </w:p>
    <w:p w14:paraId="3863E123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D5521"/>
    <w:rsid w:val="2D9D5521"/>
    <w:rsid w:val="5279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2024-12-16T01:52:00Z</dcterms:created>
  <dc:creator>徐珍(桃江拜尔地板)</dc:creator>
  <cp:lastModifiedBy>徐珍(桃江拜尔地板)</cp:lastModifiedBy>
  <cp:lastPrinted>2024-12-16T02:28:18Z</cp:lastPrinted>
  <dcterms:modified xsi:type="dcterms:W3CDTF">2024-12-16T08:18:08Z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9DEA90EC8D8F4E6D8662EAA132123396_11</vt:lpwstr>
  </property>
</Properties>
</file>