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 w:asciiTheme="majorEastAsia" w:hAnsiTheme="majorEastAsia" w:eastAsiaTheme="majorEastAsia" w:cstheme="majorEastAsia"/>
          <w:b w:val="0"/>
          <w:bCs/>
          <w:color w:val="000000" w:themeColor="text1"/>
          <w:sz w:val="28"/>
          <w:szCs w:val="28"/>
        </w:rPr>
      </w:pPr>
      <w:r>
        <w:rPr>
          <w:rFonts w:asciiTheme="majorEastAsia" w:hAnsiTheme="majorEastAsia" w:eastAsiaTheme="majorEastAsia" w:cstheme="majorEastAsia"/>
          <w:b w:val="0"/>
          <w:bCs/>
          <w:color w:val="000000" w:themeColor="text1"/>
          <w:sz w:val="28"/>
          <w:szCs w:val="28"/>
        </w:rPr>
        <w:t>附件：</w:t>
      </w:r>
    </w:p>
    <w:p>
      <w:pPr>
        <w:pStyle w:val="3"/>
        <w:jc w:val="center"/>
        <w:rPr>
          <w:rFonts w:hint="default" w:asciiTheme="majorEastAsia" w:hAnsiTheme="majorEastAsia" w:eastAsiaTheme="majorEastAsia" w:cstheme="majorEastAsia"/>
          <w:color w:val="000000" w:themeColor="text1"/>
          <w:sz w:val="36"/>
          <w:szCs w:val="36"/>
        </w:rPr>
      </w:pPr>
      <w:r>
        <w:rPr>
          <w:rFonts w:asciiTheme="majorEastAsia" w:hAnsiTheme="majorEastAsia" w:eastAsiaTheme="majorEastAsia" w:cstheme="majorEastAsia"/>
          <w:color w:val="000000" w:themeColor="text1"/>
          <w:sz w:val="36"/>
          <w:szCs w:val="36"/>
        </w:rPr>
        <w:t>桃江县桃花江市政工程有限公司绿化材料</w:t>
      </w:r>
    </w:p>
    <w:p>
      <w:pPr>
        <w:pStyle w:val="3"/>
        <w:jc w:val="center"/>
        <w:rPr>
          <w:rFonts w:hint="default" w:asciiTheme="majorEastAsia" w:hAnsiTheme="majorEastAsia" w:eastAsiaTheme="majorEastAsia" w:cstheme="majorEastAsia"/>
          <w:color w:val="000000" w:themeColor="text1"/>
          <w:sz w:val="36"/>
          <w:szCs w:val="36"/>
        </w:rPr>
      </w:pPr>
      <w:r>
        <w:rPr>
          <w:rFonts w:asciiTheme="majorEastAsia" w:hAnsiTheme="majorEastAsia" w:eastAsiaTheme="majorEastAsia" w:cstheme="majorEastAsia"/>
          <w:color w:val="000000" w:themeColor="text1"/>
          <w:sz w:val="36"/>
          <w:szCs w:val="36"/>
        </w:rPr>
        <w:t>竞价报价表</w:t>
      </w:r>
    </w:p>
    <w:p>
      <w:pPr>
        <w:spacing w:line="360" w:lineRule="auto"/>
        <w:ind w:firstLine="640" w:firstLineChars="200"/>
        <w:rPr>
          <w:rFonts w:asciiTheme="majorEastAsia" w:hAnsiTheme="majorEastAsia" w:eastAsiaTheme="majorEastAsia" w:cstheme="majorEastAsia"/>
          <w:color w:val="000000" w:themeColor="text1"/>
          <w:sz w:val="32"/>
          <w:szCs w:val="32"/>
        </w:rPr>
      </w:pPr>
    </w:p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竞价邀请人：桃江县桃花江市政工程有限公司</w:t>
      </w:r>
    </w:p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  <w:u w:val="single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报价单位（盖章）：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u w:val="single"/>
        </w:rPr>
        <w:t xml:space="preserve">                            </w:t>
      </w:r>
    </w:p>
    <w:tbl>
      <w:tblPr>
        <w:tblStyle w:val="9"/>
        <w:tblpPr w:leftFromText="180" w:rightFromText="180" w:vertAnchor="text" w:horzAnchor="page" w:tblpX="1770" w:tblpY="67"/>
        <w:tblOverlap w:val="never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0"/>
        <w:gridCol w:w="4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630" w:type="dxa"/>
          </w:tcPr>
          <w:p>
            <w:pPr>
              <w:spacing w:line="360" w:lineRule="auto"/>
              <w:ind w:firstLine="1400" w:firstLineChars="500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竞价标的</w:t>
            </w:r>
          </w:p>
        </w:tc>
        <w:tc>
          <w:tcPr>
            <w:tcW w:w="4630" w:type="dxa"/>
          </w:tcPr>
          <w:p>
            <w:pPr>
              <w:spacing w:line="360" w:lineRule="auto"/>
              <w:ind w:firstLine="1120" w:firstLineChars="400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绿化材料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630" w:type="dxa"/>
          </w:tcPr>
          <w:p>
            <w:pPr>
              <w:spacing w:line="360" w:lineRule="auto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承诺财评价下浮率（%）</w:t>
            </w:r>
          </w:p>
        </w:tc>
        <w:tc>
          <w:tcPr>
            <w:tcW w:w="4630" w:type="dxa"/>
          </w:tcPr>
          <w:p>
            <w:pPr>
              <w:spacing w:line="360" w:lineRule="auto"/>
              <w:ind w:firstLine="560" w:firstLineChars="200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</w:p>
        </w:tc>
      </w:tr>
    </w:tbl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说明：</w:t>
      </w:r>
    </w:p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  <w:r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  <w:t>1、工程量计量方式: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按实计量；</w:t>
      </w:r>
      <w:bookmarkStart w:id="0" w:name="_GoBack"/>
      <w:bookmarkEnd w:id="0"/>
    </w:p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  <w:r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  <w:t>2、付款方式:按期结算支付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；</w:t>
      </w:r>
    </w:p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3</w:t>
      </w:r>
      <w:r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  <w:t>、质量合格标准:符合相关规范要求及检测标准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；</w:t>
      </w:r>
    </w:p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4</w:t>
      </w:r>
      <w:r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  <w:t>、本期财评价格: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绿化材料</w:t>
      </w:r>
      <w:r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  <w:t>各期结算价格参见财评价下浮;</w:t>
      </w:r>
    </w:p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5、招标上限价按财评价下浮10%，文件报价下浮率小于10%的为无效报价；</w:t>
      </w:r>
    </w:p>
    <w:p>
      <w:pPr>
        <w:spacing w:line="360" w:lineRule="auto"/>
        <w:ind w:firstLine="560" w:firstLineChars="200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6</w:t>
      </w:r>
      <w:r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  <w:t>、若经质量检测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绿化材料</w:t>
      </w:r>
      <w:r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  <w:t>质量不达标，甲方将拒绝支付供货商材料款。</w:t>
      </w:r>
    </w:p>
    <w:p>
      <w:pPr>
        <w:spacing w:line="360" w:lineRule="auto"/>
        <w:ind w:firstLine="560" w:firstLineChars="200"/>
        <w:jc w:val="center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rPr>
          <w:rFonts w:asciiTheme="majorEastAsia" w:hAnsiTheme="majorEastAsia" w:eastAsiaTheme="majorEastAsia" w:cstheme="majorEastAsia"/>
          <w:color w:val="000000" w:themeColor="text1"/>
          <w:sz w:val="28"/>
          <w:szCs w:val="28"/>
          <w:u w:val="single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 xml:space="preserve">     报价单位负责人签字：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u w:val="single"/>
        </w:rPr>
        <w:t xml:space="preserve">           </w:t>
      </w:r>
    </w:p>
    <w:p>
      <w:pPr>
        <w:spacing w:line="360" w:lineRule="auto"/>
        <w:ind w:firstLine="4760" w:firstLineChars="1700"/>
        <w:rPr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</w:rPr>
        <w:t>年   月    日</w:t>
      </w:r>
    </w:p>
    <w:p>
      <w:pPr>
        <w:pStyle w:val="7"/>
        <w:widowControl/>
        <w:spacing w:line="450" w:lineRule="atLeas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WFlN2MzYTljYWVjYjdmMzUxN2VmYmMyMTg5OTUifQ=="/>
  </w:docVars>
  <w:rsids>
    <w:rsidRoot w:val="2006065A"/>
    <w:rsid w:val="000878D7"/>
    <w:rsid w:val="000B1EFB"/>
    <w:rsid w:val="000F13BC"/>
    <w:rsid w:val="0017582C"/>
    <w:rsid w:val="001B358F"/>
    <w:rsid w:val="00204E8A"/>
    <w:rsid w:val="002159C4"/>
    <w:rsid w:val="00293377"/>
    <w:rsid w:val="002A50E2"/>
    <w:rsid w:val="002B6DFF"/>
    <w:rsid w:val="00371519"/>
    <w:rsid w:val="00397071"/>
    <w:rsid w:val="003C2FAF"/>
    <w:rsid w:val="00413AC3"/>
    <w:rsid w:val="004564DC"/>
    <w:rsid w:val="004A5D16"/>
    <w:rsid w:val="004E225B"/>
    <w:rsid w:val="00543E71"/>
    <w:rsid w:val="005863E7"/>
    <w:rsid w:val="005A6B01"/>
    <w:rsid w:val="005D3BD0"/>
    <w:rsid w:val="005F2EFD"/>
    <w:rsid w:val="006040A6"/>
    <w:rsid w:val="006207E6"/>
    <w:rsid w:val="00623C39"/>
    <w:rsid w:val="00635926"/>
    <w:rsid w:val="0068030E"/>
    <w:rsid w:val="006F1B35"/>
    <w:rsid w:val="0070004B"/>
    <w:rsid w:val="00701C07"/>
    <w:rsid w:val="00705994"/>
    <w:rsid w:val="0071417C"/>
    <w:rsid w:val="00746CC8"/>
    <w:rsid w:val="007510E2"/>
    <w:rsid w:val="00766B56"/>
    <w:rsid w:val="00824AEB"/>
    <w:rsid w:val="00854642"/>
    <w:rsid w:val="008A6F13"/>
    <w:rsid w:val="00922493"/>
    <w:rsid w:val="009460AF"/>
    <w:rsid w:val="009A3E59"/>
    <w:rsid w:val="009D5A8B"/>
    <w:rsid w:val="009E2BA5"/>
    <w:rsid w:val="00A561BF"/>
    <w:rsid w:val="00A56410"/>
    <w:rsid w:val="00AF1762"/>
    <w:rsid w:val="00B3155C"/>
    <w:rsid w:val="00B77594"/>
    <w:rsid w:val="00B90DEB"/>
    <w:rsid w:val="00C3053A"/>
    <w:rsid w:val="00C419FC"/>
    <w:rsid w:val="00CE3616"/>
    <w:rsid w:val="00CF360C"/>
    <w:rsid w:val="00D7665F"/>
    <w:rsid w:val="00E01683"/>
    <w:rsid w:val="00E45934"/>
    <w:rsid w:val="00E64A54"/>
    <w:rsid w:val="00FA16B1"/>
    <w:rsid w:val="01CD3598"/>
    <w:rsid w:val="040527C1"/>
    <w:rsid w:val="054973B2"/>
    <w:rsid w:val="06D40B21"/>
    <w:rsid w:val="0884028A"/>
    <w:rsid w:val="09BF5B0D"/>
    <w:rsid w:val="0C073A71"/>
    <w:rsid w:val="12667109"/>
    <w:rsid w:val="162B06B4"/>
    <w:rsid w:val="163E113E"/>
    <w:rsid w:val="16CB09D7"/>
    <w:rsid w:val="178F6C4E"/>
    <w:rsid w:val="179229F5"/>
    <w:rsid w:val="17B07900"/>
    <w:rsid w:val="18E55A56"/>
    <w:rsid w:val="199F44EB"/>
    <w:rsid w:val="1A1C2F19"/>
    <w:rsid w:val="1C3D4513"/>
    <w:rsid w:val="2006065A"/>
    <w:rsid w:val="20D80B91"/>
    <w:rsid w:val="23DC631E"/>
    <w:rsid w:val="27185C53"/>
    <w:rsid w:val="2C81364F"/>
    <w:rsid w:val="2DE93472"/>
    <w:rsid w:val="2E2C0DB8"/>
    <w:rsid w:val="33D76629"/>
    <w:rsid w:val="37737454"/>
    <w:rsid w:val="37C1173C"/>
    <w:rsid w:val="3D0708AB"/>
    <w:rsid w:val="3E121856"/>
    <w:rsid w:val="40A76C2B"/>
    <w:rsid w:val="43EF69EF"/>
    <w:rsid w:val="464134D9"/>
    <w:rsid w:val="47473933"/>
    <w:rsid w:val="49065623"/>
    <w:rsid w:val="4A575582"/>
    <w:rsid w:val="4A83461F"/>
    <w:rsid w:val="4BD83D26"/>
    <w:rsid w:val="4C0B229D"/>
    <w:rsid w:val="4CC54AE0"/>
    <w:rsid w:val="4F96115B"/>
    <w:rsid w:val="50DE11B7"/>
    <w:rsid w:val="53B5365D"/>
    <w:rsid w:val="56447CE6"/>
    <w:rsid w:val="5A3F05AD"/>
    <w:rsid w:val="5DC94298"/>
    <w:rsid w:val="630C5F29"/>
    <w:rsid w:val="65C119E1"/>
    <w:rsid w:val="66F80B4B"/>
    <w:rsid w:val="66FE4FCB"/>
    <w:rsid w:val="67C97893"/>
    <w:rsid w:val="6C7770C3"/>
    <w:rsid w:val="6E3C0CBF"/>
    <w:rsid w:val="6E8605DA"/>
    <w:rsid w:val="70F106A8"/>
    <w:rsid w:val="75555749"/>
    <w:rsid w:val="762E7C63"/>
    <w:rsid w:val="79F229F5"/>
    <w:rsid w:val="7BD0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ascii="微软雅黑" w:hAnsi="微软雅黑" w:eastAsia="微软雅黑" w:cs="Times New Roman"/>
      <w:b/>
      <w:color w:val="333333"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微软雅黑" w:hAnsi="微软雅黑" w:eastAsia="微软雅黑" w:cs="Times New Roman"/>
      <w:b/>
      <w:color w:val="333333"/>
      <w:kern w:val="0"/>
      <w:sz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4"/>
    <w:unhideWhenUsed/>
    <w:qFormat/>
    <w:uiPriority w:val="99"/>
    <w:rPr>
      <w:rFonts w:ascii="等线" w:hAnsi="等线" w:eastAsia="等线" w:cs="Times New Roman"/>
      <w:sz w:val="18"/>
      <w:szCs w:val="18"/>
    </w:rPr>
  </w:style>
  <w:style w:type="paragraph" w:styleId="5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rFonts w:hint="eastAsia" w:ascii="微软雅黑" w:hAnsi="微软雅黑" w:eastAsia="微软雅黑" w:cs="Times New Roman"/>
      <w:color w:val="333333"/>
      <w:kern w:val="0"/>
      <w:szCs w:val="21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10"/>
    <w:qFormat/>
    <w:uiPriority w:val="0"/>
    <w:rPr>
      <w:color w:val="333333"/>
      <w:u w:val="none"/>
    </w:rPr>
  </w:style>
  <w:style w:type="character" w:styleId="12">
    <w:name w:val="Emphasis"/>
    <w:basedOn w:val="10"/>
    <w:qFormat/>
    <w:uiPriority w:val="0"/>
  </w:style>
  <w:style w:type="character" w:styleId="13">
    <w:name w:val="HTML Definition"/>
    <w:basedOn w:val="10"/>
    <w:qFormat/>
    <w:uiPriority w:val="0"/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basedOn w:val="10"/>
    <w:qFormat/>
    <w:uiPriority w:val="0"/>
    <w:rPr>
      <w:color w:val="333333"/>
      <w:u w:val="none"/>
    </w:rPr>
  </w:style>
  <w:style w:type="character" w:styleId="17">
    <w:name w:val="HTML Code"/>
    <w:basedOn w:val="10"/>
    <w:qFormat/>
    <w:uiPriority w:val="0"/>
    <w:rPr>
      <w:rFonts w:hint="eastAsia" w:ascii="微软雅黑" w:hAnsi="微软雅黑" w:eastAsia="微软雅黑" w:cs="微软雅黑"/>
      <w:color w:val="333333"/>
      <w:sz w:val="21"/>
      <w:szCs w:val="21"/>
    </w:rPr>
  </w:style>
  <w:style w:type="character" w:styleId="18">
    <w:name w:val="HTML Cite"/>
    <w:basedOn w:val="10"/>
    <w:qFormat/>
    <w:uiPriority w:val="0"/>
  </w:style>
  <w:style w:type="paragraph" w:customStyle="1" w:styleId="19">
    <w:name w:val="info"/>
    <w:basedOn w:val="1"/>
    <w:qFormat/>
    <w:uiPriority w:val="0"/>
    <w:pPr>
      <w:spacing w:before="300"/>
      <w:jc w:val="center"/>
    </w:pPr>
    <w:rPr>
      <w:rFonts w:cs="Times New Roman"/>
      <w:color w:val="999999"/>
      <w:kern w:val="0"/>
      <w:sz w:val="18"/>
      <w:szCs w:val="18"/>
    </w:rPr>
  </w:style>
  <w:style w:type="character" w:customStyle="1" w:styleId="20">
    <w:name w:val="hj-easyread-speakerprocesser-position-action-icon"/>
    <w:basedOn w:val="10"/>
    <w:qFormat/>
    <w:uiPriority w:val="0"/>
  </w:style>
  <w:style w:type="character" w:customStyle="1" w:styleId="2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批注框文本 Char1"/>
    <w:link w:val="4"/>
    <w:qFormat/>
    <w:uiPriority w:val="99"/>
    <w:rPr>
      <w:rFonts w:ascii="等线" w:hAnsi="等线" w:eastAsia="等线"/>
      <w:kern w:val="2"/>
      <w:sz w:val="18"/>
      <w:szCs w:val="18"/>
    </w:rPr>
  </w:style>
  <w:style w:type="character" w:customStyle="1" w:styleId="25">
    <w:name w:val="font11"/>
    <w:basedOn w:val="10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220</Words>
  <Characters>1254</Characters>
  <Lines>10</Lines>
  <Paragraphs>2</Paragraphs>
  <TotalTime>11</TotalTime>
  <ScaleCrop>false</ScaleCrop>
  <LinksUpToDate>false</LinksUpToDate>
  <CharactersWithSpaces>1472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2020-07-19T23:06:00Z</dcterms:created>
  <dc:creator>徐珍(桃江拜尔地板)</dc:creator>
  <cp:lastModifiedBy>Administrator</cp:lastModifiedBy>
  <cp:lastPrinted>2021-06-04T01:18:00Z</cp:lastPrinted>
  <dcterms:modified xsi:type="dcterms:W3CDTF">2024-08-07T03:52:24Z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9D4C2F9732514A25A74747DFF0112EA9_13</vt:lpwstr>
  </property>
</Properties>
</file>